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66E1" w14:textId="77777777" w:rsidR="008A7218" w:rsidRPr="00834D31" w:rsidRDefault="008A7218" w:rsidP="684C7E2D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</w:p>
    <w:p w14:paraId="6BF380A0" w14:textId="656F2DA1" w:rsidR="586C5E30" w:rsidRPr="00834D31" w:rsidRDefault="586C5E30" w:rsidP="684C7E2D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834D31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S</w:t>
      </w:r>
      <w:r w:rsidR="3EA7C548" w:rsidRPr="00834D31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eguro de vida </w:t>
      </w:r>
      <w:r w:rsidR="5CFCF736" w:rsidRPr="00834D31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e </w:t>
      </w:r>
      <w:r w:rsidR="3EA7C548" w:rsidRPr="00834D31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a educação financeira dos filhos</w:t>
      </w:r>
    </w:p>
    <w:p w14:paraId="6478D891" w14:textId="1A6BB986" w:rsidR="004747CB" w:rsidRPr="00834D31" w:rsidRDefault="49B754EF" w:rsidP="008C4D58">
      <w:pPr>
        <w:spacing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34D31">
        <w:rPr>
          <w:rFonts w:ascii="Calibri" w:hAnsi="Calibri" w:cs="Calibri"/>
          <w:i/>
          <w:iCs/>
          <w:sz w:val="22"/>
          <w:szCs w:val="22"/>
        </w:rPr>
        <w:t xml:space="preserve">Pesquisa aponta que </w:t>
      </w:r>
      <w:r w:rsidR="7720C35F" w:rsidRPr="00834D31">
        <w:rPr>
          <w:rFonts w:ascii="Calibri" w:hAnsi="Calibri" w:cs="Calibri"/>
          <w:i/>
          <w:iCs/>
          <w:sz w:val="22"/>
          <w:szCs w:val="22"/>
        </w:rPr>
        <w:t>46% dos pais e mães possuem algum tipo de investimento para o filho</w:t>
      </w:r>
    </w:p>
    <w:p w14:paraId="0B750609" w14:textId="777BF23A" w:rsidR="00D42281" w:rsidRPr="00834D31" w:rsidRDefault="00A06E64" w:rsidP="684C7E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4D31">
        <w:rPr>
          <w:rFonts w:ascii="Calibri" w:hAnsi="Calibri" w:cs="Calibri"/>
          <w:b/>
          <w:bCs/>
          <w:sz w:val="22"/>
          <w:szCs w:val="22"/>
        </w:rPr>
        <w:t>São Paulo</w:t>
      </w:r>
      <w:r w:rsidR="005D68C1" w:rsidRPr="00834D3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45558EAA" w:rsidRPr="00834D31">
        <w:rPr>
          <w:rFonts w:ascii="Calibri" w:hAnsi="Calibri" w:cs="Calibri"/>
          <w:b/>
          <w:bCs/>
          <w:sz w:val="22"/>
          <w:szCs w:val="22"/>
        </w:rPr>
        <w:t xml:space="preserve">abril </w:t>
      </w:r>
      <w:r w:rsidRPr="00834D31">
        <w:rPr>
          <w:rFonts w:ascii="Calibri" w:hAnsi="Calibri" w:cs="Calibri"/>
          <w:b/>
          <w:bCs/>
          <w:sz w:val="22"/>
          <w:szCs w:val="22"/>
        </w:rPr>
        <w:t xml:space="preserve">de 2024 </w:t>
      </w:r>
      <w:r w:rsidR="00BD2C47" w:rsidRPr="00834D31">
        <w:rPr>
          <w:rFonts w:ascii="Calibri" w:hAnsi="Calibri" w:cs="Calibri"/>
          <w:b/>
          <w:bCs/>
          <w:sz w:val="22"/>
          <w:szCs w:val="22"/>
        </w:rPr>
        <w:t>–</w:t>
      </w:r>
      <w:r w:rsidRPr="00834D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2281" w:rsidRPr="00834D31">
        <w:rPr>
          <w:rFonts w:ascii="Calibri" w:hAnsi="Calibri" w:cs="Calibri"/>
          <w:sz w:val="22"/>
          <w:szCs w:val="22"/>
        </w:rPr>
        <w:t xml:space="preserve">A </w:t>
      </w:r>
      <w:r w:rsidR="002F5B38" w:rsidRPr="00834D31">
        <w:rPr>
          <w:rFonts w:ascii="Calibri" w:hAnsi="Calibri" w:cs="Calibri"/>
          <w:sz w:val="22"/>
          <w:szCs w:val="22"/>
        </w:rPr>
        <w:t>forma</w:t>
      </w:r>
      <w:r w:rsidR="00D42281" w:rsidRPr="00834D31">
        <w:rPr>
          <w:rFonts w:ascii="Calibri" w:hAnsi="Calibri" w:cs="Calibri"/>
          <w:sz w:val="22"/>
          <w:szCs w:val="22"/>
        </w:rPr>
        <w:t xml:space="preserve"> como as crianças aprendem a lidar com dinheiro desde cedo tem impacto significativo na construção de uma vida financeira saudável na idade adulta. Por isso, </w:t>
      </w:r>
      <w:r w:rsidR="009D74DC" w:rsidRPr="00834D31">
        <w:rPr>
          <w:rFonts w:ascii="Calibri" w:hAnsi="Calibri" w:cs="Calibri"/>
          <w:sz w:val="22"/>
          <w:szCs w:val="22"/>
        </w:rPr>
        <w:t>tanto as escolas quanto as famílias desempenham um papel fundamental nesse processo, ajudando os pequenos a entenderem a importância da economia e dos investimentos para o seu futuro.</w:t>
      </w:r>
    </w:p>
    <w:p w14:paraId="060BB1C6" w14:textId="1274FC93" w:rsidR="00302D26" w:rsidRPr="00834D31" w:rsidRDefault="47A5FB9E" w:rsidP="684C7E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4D31">
        <w:rPr>
          <w:rFonts w:ascii="Calibri" w:hAnsi="Calibri" w:cs="Calibri"/>
          <w:sz w:val="22"/>
          <w:szCs w:val="22"/>
        </w:rPr>
        <w:t xml:space="preserve">Pesquisa realizada pela </w:t>
      </w:r>
      <w:hyperlink r:id="rId10">
        <w:r w:rsidRPr="00834D31">
          <w:rPr>
            <w:rStyle w:val="Hyperlink"/>
            <w:rFonts w:ascii="Calibri" w:hAnsi="Calibri" w:cs="Calibri"/>
            <w:sz w:val="22"/>
            <w:szCs w:val="22"/>
          </w:rPr>
          <w:t>Serasa em parceria com a Opinion Box</w:t>
        </w:r>
      </w:hyperlink>
      <w:r w:rsidRPr="00834D31">
        <w:rPr>
          <w:rFonts w:ascii="Calibri" w:hAnsi="Calibri" w:cs="Calibri"/>
          <w:sz w:val="22"/>
          <w:szCs w:val="22"/>
        </w:rPr>
        <w:t xml:space="preserve"> </w:t>
      </w:r>
      <w:r w:rsidR="00C059EC" w:rsidRPr="00834D31">
        <w:rPr>
          <w:rFonts w:ascii="Calibri" w:hAnsi="Calibri" w:cs="Calibri"/>
          <w:sz w:val="22"/>
          <w:szCs w:val="22"/>
        </w:rPr>
        <w:t>mostra que pais e mães se preocupam com o bem-estar financeiro de seus filhos, mas ainda não têm clareza sobre qual é o melhor produto financeiro para assegurar o futuro das crianças. Os dados mostram que 46% dos entrevistados possuem algum tipo de investimento para o filho, sendo que 34% optam por guardar dinheiro na poupança para eventuais necessidades emergenciais.</w:t>
      </w:r>
      <w:r w:rsidR="0316EFD8" w:rsidRPr="00834D31">
        <w:rPr>
          <w:rFonts w:ascii="Calibri" w:hAnsi="Calibri" w:cs="Calibri"/>
          <w:sz w:val="22"/>
          <w:szCs w:val="22"/>
        </w:rPr>
        <w:t xml:space="preserve"> </w:t>
      </w:r>
    </w:p>
    <w:p w14:paraId="4F298E6A" w14:textId="7CCBD3B8" w:rsidR="00D57A0C" w:rsidRPr="00834D31" w:rsidRDefault="00D57A0C" w:rsidP="001E203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4D31">
        <w:rPr>
          <w:rFonts w:ascii="Calibri" w:hAnsi="Calibri" w:cs="Calibri"/>
          <w:sz w:val="22"/>
          <w:szCs w:val="22"/>
        </w:rPr>
        <w:t xml:space="preserve">"Embora a poupança seja comum, existem outras soluções para garantir o padrão de vida </w:t>
      </w:r>
      <w:r w:rsidR="00627479" w:rsidRPr="00834D31">
        <w:rPr>
          <w:rFonts w:ascii="Calibri" w:hAnsi="Calibri" w:cs="Calibri"/>
          <w:sz w:val="22"/>
          <w:szCs w:val="22"/>
        </w:rPr>
        <w:t>desejado</w:t>
      </w:r>
      <w:r w:rsidRPr="00834D31">
        <w:rPr>
          <w:rFonts w:ascii="Calibri" w:hAnsi="Calibri" w:cs="Calibri"/>
          <w:sz w:val="22"/>
          <w:szCs w:val="22"/>
        </w:rPr>
        <w:t>. O seguro de vida, por exemplo, é uma alternativa vantajosa, pois garante que os beneficiários tenham o capital contratado disponível em caso de ausência do segurado. Além disso, oferece segurança aos pais, que protegem sua capacidade de gerar renda até que seus filhos completem 18 anos e possam ter sua própria apólice", explica José Luiz Florippes, Diretor de Vendas de Seguros da Omint.</w:t>
      </w:r>
    </w:p>
    <w:p w14:paraId="17DD3E10" w14:textId="51D1CBC3" w:rsidR="684C7E2D" w:rsidRPr="00834D31" w:rsidRDefault="00100199" w:rsidP="684C7E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34D31">
        <w:rPr>
          <w:rFonts w:ascii="Calibri" w:hAnsi="Calibri" w:cs="Calibri"/>
          <w:sz w:val="22"/>
          <w:szCs w:val="22"/>
        </w:rPr>
        <w:t>O</w:t>
      </w:r>
      <w:r w:rsidR="40CFE2F9" w:rsidRPr="00834D31">
        <w:rPr>
          <w:rFonts w:ascii="Calibri" w:hAnsi="Calibri" w:cs="Calibri"/>
          <w:sz w:val="22"/>
          <w:szCs w:val="22"/>
        </w:rPr>
        <w:t xml:space="preserve"> seguro de vida </w:t>
      </w:r>
      <w:r w:rsidRPr="00834D31">
        <w:rPr>
          <w:rFonts w:ascii="Calibri" w:hAnsi="Calibri" w:cs="Calibri"/>
          <w:sz w:val="22"/>
          <w:szCs w:val="22"/>
        </w:rPr>
        <w:t xml:space="preserve">também </w:t>
      </w:r>
      <w:r w:rsidR="009035D8" w:rsidRPr="00834D31">
        <w:rPr>
          <w:rFonts w:ascii="Calibri" w:hAnsi="Calibri" w:cs="Calibri"/>
          <w:sz w:val="22"/>
          <w:szCs w:val="22"/>
        </w:rPr>
        <w:t>protege</w:t>
      </w:r>
      <w:r w:rsidR="40CFE2F9" w:rsidRPr="00834D31">
        <w:rPr>
          <w:rFonts w:ascii="Calibri" w:hAnsi="Calibri" w:cs="Calibri"/>
          <w:sz w:val="22"/>
          <w:szCs w:val="22"/>
        </w:rPr>
        <w:t xml:space="preserve"> </w:t>
      </w:r>
      <w:r w:rsidR="009035D8" w:rsidRPr="00834D31">
        <w:rPr>
          <w:rFonts w:ascii="Calibri" w:hAnsi="Calibri" w:cs="Calibri"/>
          <w:sz w:val="22"/>
          <w:szCs w:val="22"/>
        </w:rPr>
        <w:t xml:space="preserve">os </w:t>
      </w:r>
      <w:r w:rsidR="40CFE2F9" w:rsidRPr="00834D31">
        <w:rPr>
          <w:rFonts w:ascii="Calibri" w:hAnsi="Calibri" w:cs="Calibri"/>
          <w:sz w:val="22"/>
          <w:szCs w:val="22"/>
        </w:rPr>
        <w:t xml:space="preserve">investimentos, inclusive a poupança. Em uma situação inesperada, que haja cobertura em apólice, o seguro </w:t>
      </w:r>
      <w:r w:rsidR="52FB41E1" w:rsidRPr="00834D31">
        <w:rPr>
          <w:rFonts w:ascii="Calibri" w:hAnsi="Calibri" w:cs="Calibri"/>
          <w:sz w:val="22"/>
          <w:szCs w:val="22"/>
        </w:rPr>
        <w:t>garantirá o respaldo financeiro para que o patrimônio da família continue intacto</w:t>
      </w:r>
      <w:r w:rsidR="00302D26" w:rsidRPr="00834D31">
        <w:rPr>
          <w:rFonts w:ascii="Calibri" w:hAnsi="Calibri" w:cs="Calibri"/>
          <w:sz w:val="22"/>
          <w:szCs w:val="22"/>
        </w:rPr>
        <w:t xml:space="preserve">, </w:t>
      </w:r>
      <w:r w:rsidR="52FB41E1" w:rsidRPr="00834D31">
        <w:rPr>
          <w:rFonts w:ascii="Calibri" w:hAnsi="Calibri" w:cs="Calibri"/>
          <w:sz w:val="22"/>
          <w:szCs w:val="22"/>
        </w:rPr>
        <w:t xml:space="preserve">sem ser </w:t>
      </w:r>
      <w:bookmarkStart w:id="0" w:name="_Int_WiqpOJxt"/>
      <w:proofErr w:type="gramStart"/>
      <w:r w:rsidR="52FB41E1" w:rsidRPr="00834D31">
        <w:rPr>
          <w:rFonts w:ascii="Calibri" w:hAnsi="Calibri" w:cs="Calibri"/>
          <w:sz w:val="22"/>
          <w:szCs w:val="22"/>
        </w:rPr>
        <w:t>dilapidado</w:t>
      </w:r>
      <w:bookmarkEnd w:id="0"/>
      <w:proofErr w:type="gramEnd"/>
      <w:r w:rsidR="52FB41E1" w:rsidRPr="00834D31">
        <w:rPr>
          <w:rFonts w:ascii="Calibri" w:hAnsi="Calibri" w:cs="Calibri"/>
          <w:sz w:val="22"/>
          <w:szCs w:val="22"/>
        </w:rPr>
        <w:t>.</w:t>
      </w:r>
      <w:r w:rsidR="003E6C17" w:rsidRPr="00834D31">
        <w:rPr>
          <w:rFonts w:ascii="Calibri" w:hAnsi="Calibri" w:cs="Calibri"/>
          <w:sz w:val="22"/>
          <w:szCs w:val="22"/>
        </w:rPr>
        <w:t xml:space="preserve"> </w:t>
      </w:r>
      <w:r w:rsidR="00A25B43" w:rsidRPr="00834D31">
        <w:rPr>
          <w:rFonts w:ascii="Calibri" w:hAnsi="Calibri" w:cs="Calibri"/>
          <w:sz w:val="22"/>
          <w:szCs w:val="22"/>
        </w:rPr>
        <w:t>"Dessa forma, você não apenas resguarda o futuro de seus filhos, mas também os ensina sobre a importância dos investimentos, priorizando sua segurança e bem-estar", completa Florippes.</w:t>
      </w:r>
      <w:r w:rsidR="00A25B43" w:rsidRPr="00834D31" w:rsidDel="00A25B43">
        <w:rPr>
          <w:rFonts w:ascii="Calibri" w:hAnsi="Calibri" w:cs="Calibri"/>
          <w:sz w:val="22"/>
          <w:szCs w:val="22"/>
        </w:rPr>
        <w:t xml:space="preserve"> </w:t>
      </w:r>
    </w:p>
    <w:p w14:paraId="5DFC6922" w14:textId="77777777" w:rsidR="005F38AE" w:rsidRPr="00834D31" w:rsidRDefault="005F38AE" w:rsidP="684C7E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5F38AE" w:rsidRPr="00834D3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25865" w14:textId="77777777" w:rsidR="006E59D7" w:rsidRDefault="006E59D7" w:rsidP="008A7218">
      <w:pPr>
        <w:spacing w:after="0" w:line="240" w:lineRule="auto"/>
      </w:pPr>
      <w:r>
        <w:separator/>
      </w:r>
    </w:p>
  </w:endnote>
  <w:endnote w:type="continuationSeparator" w:id="0">
    <w:p w14:paraId="6F9B4B2D" w14:textId="77777777" w:rsidR="006E59D7" w:rsidRDefault="006E59D7" w:rsidP="008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EB08" w14:textId="77777777" w:rsidR="006E59D7" w:rsidRDefault="006E59D7" w:rsidP="008A7218">
      <w:pPr>
        <w:spacing w:after="0" w:line="240" w:lineRule="auto"/>
      </w:pPr>
      <w:r>
        <w:separator/>
      </w:r>
    </w:p>
  </w:footnote>
  <w:footnote w:type="continuationSeparator" w:id="0">
    <w:p w14:paraId="5EE34AF1" w14:textId="77777777" w:rsidR="006E59D7" w:rsidRDefault="006E59D7" w:rsidP="008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B7E3" w14:textId="2DAE78FC" w:rsidR="008A7218" w:rsidRDefault="008A7218" w:rsidP="008A7218">
    <w:pPr>
      <w:pStyle w:val="Cabealho"/>
      <w:jc w:val="center"/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964201C" wp14:editId="76520AA4">
          <wp:extent cx="1392259" cy="482600"/>
          <wp:effectExtent l="0" t="0" r="0" b="0"/>
          <wp:docPr id="1073741828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422" cy="483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iqpOJxt" int2:invalidationBookmarkName="" int2:hashCode="+K3qz56Q3i3Ngo" int2:id="OGDRh8O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7EBE"/>
    <w:multiLevelType w:val="hybridMultilevel"/>
    <w:tmpl w:val="1CA093F0"/>
    <w:lvl w:ilvl="0" w:tplc="FF7A9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4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2C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F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E6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CD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0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66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4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4D"/>
    <w:rsid w:val="00064638"/>
    <w:rsid w:val="00100199"/>
    <w:rsid w:val="00112F11"/>
    <w:rsid w:val="001B2F7F"/>
    <w:rsid w:val="001E2031"/>
    <w:rsid w:val="002D55F5"/>
    <w:rsid w:val="002F5B38"/>
    <w:rsid w:val="00302D26"/>
    <w:rsid w:val="003137A1"/>
    <w:rsid w:val="003264E5"/>
    <w:rsid w:val="00346A46"/>
    <w:rsid w:val="00384A20"/>
    <w:rsid w:val="00393A28"/>
    <w:rsid w:val="003C5FDD"/>
    <w:rsid w:val="003E6C17"/>
    <w:rsid w:val="004747CB"/>
    <w:rsid w:val="004B45AC"/>
    <w:rsid w:val="004E27B4"/>
    <w:rsid w:val="004F56FB"/>
    <w:rsid w:val="00516656"/>
    <w:rsid w:val="00541DAC"/>
    <w:rsid w:val="00543748"/>
    <w:rsid w:val="005C7239"/>
    <w:rsid w:val="005D68C1"/>
    <w:rsid w:val="005F38AE"/>
    <w:rsid w:val="00627479"/>
    <w:rsid w:val="00681950"/>
    <w:rsid w:val="006E59D7"/>
    <w:rsid w:val="00746C87"/>
    <w:rsid w:val="00770F23"/>
    <w:rsid w:val="007B15E9"/>
    <w:rsid w:val="00834D31"/>
    <w:rsid w:val="00837446"/>
    <w:rsid w:val="008A7218"/>
    <w:rsid w:val="008C4D58"/>
    <w:rsid w:val="008E0474"/>
    <w:rsid w:val="009035D8"/>
    <w:rsid w:val="00912D4D"/>
    <w:rsid w:val="00936134"/>
    <w:rsid w:val="00992D15"/>
    <w:rsid w:val="00997604"/>
    <w:rsid w:val="009B7219"/>
    <w:rsid w:val="009D74DC"/>
    <w:rsid w:val="00A06E64"/>
    <w:rsid w:val="00A25B43"/>
    <w:rsid w:val="00A533BD"/>
    <w:rsid w:val="00A77F49"/>
    <w:rsid w:val="00AA58F4"/>
    <w:rsid w:val="00B10F09"/>
    <w:rsid w:val="00B520F2"/>
    <w:rsid w:val="00B53D12"/>
    <w:rsid w:val="00BD2C47"/>
    <w:rsid w:val="00BF429A"/>
    <w:rsid w:val="00C057B9"/>
    <w:rsid w:val="00C059EC"/>
    <w:rsid w:val="00CB1460"/>
    <w:rsid w:val="00CD7438"/>
    <w:rsid w:val="00D42281"/>
    <w:rsid w:val="00D57A0C"/>
    <w:rsid w:val="00D66538"/>
    <w:rsid w:val="00DB09CE"/>
    <w:rsid w:val="00DD4550"/>
    <w:rsid w:val="00E70F37"/>
    <w:rsid w:val="00E77326"/>
    <w:rsid w:val="00EE6B46"/>
    <w:rsid w:val="00EF0476"/>
    <w:rsid w:val="00F3799F"/>
    <w:rsid w:val="00F8486E"/>
    <w:rsid w:val="00FA1478"/>
    <w:rsid w:val="00FF52BD"/>
    <w:rsid w:val="0218DDB6"/>
    <w:rsid w:val="0242DC1A"/>
    <w:rsid w:val="0316EFD8"/>
    <w:rsid w:val="034DE951"/>
    <w:rsid w:val="03719887"/>
    <w:rsid w:val="041823BE"/>
    <w:rsid w:val="041E938B"/>
    <w:rsid w:val="04F00D07"/>
    <w:rsid w:val="05D58F1F"/>
    <w:rsid w:val="061FF3A3"/>
    <w:rsid w:val="0685E422"/>
    <w:rsid w:val="06C7509F"/>
    <w:rsid w:val="06E9217B"/>
    <w:rsid w:val="071B2322"/>
    <w:rsid w:val="080D620A"/>
    <w:rsid w:val="0832BBEB"/>
    <w:rsid w:val="0842E943"/>
    <w:rsid w:val="09033E06"/>
    <w:rsid w:val="09657ED0"/>
    <w:rsid w:val="0976350F"/>
    <w:rsid w:val="0A316808"/>
    <w:rsid w:val="0AB0EDC8"/>
    <w:rsid w:val="0C589A6C"/>
    <w:rsid w:val="0C868A07"/>
    <w:rsid w:val="0E7A4EA7"/>
    <w:rsid w:val="0EB774DC"/>
    <w:rsid w:val="0F519095"/>
    <w:rsid w:val="0F845EEB"/>
    <w:rsid w:val="10D6353B"/>
    <w:rsid w:val="11913997"/>
    <w:rsid w:val="11FDE61C"/>
    <w:rsid w:val="128CF4DE"/>
    <w:rsid w:val="15B826F9"/>
    <w:rsid w:val="166A9715"/>
    <w:rsid w:val="1687D36B"/>
    <w:rsid w:val="16C74A99"/>
    <w:rsid w:val="16E56A29"/>
    <w:rsid w:val="177107E8"/>
    <w:rsid w:val="17EA2A74"/>
    <w:rsid w:val="187CB67F"/>
    <w:rsid w:val="18EFA326"/>
    <w:rsid w:val="196585CD"/>
    <w:rsid w:val="19DE80C8"/>
    <w:rsid w:val="1A5D635F"/>
    <w:rsid w:val="1AB8F2F5"/>
    <w:rsid w:val="1B32EC1C"/>
    <w:rsid w:val="1B7E936F"/>
    <w:rsid w:val="1C2743E8"/>
    <w:rsid w:val="1C47B6C0"/>
    <w:rsid w:val="1DF5CDD1"/>
    <w:rsid w:val="1F019A29"/>
    <w:rsid w:val="1F815A58"/>
    <w:rsid w:val="1FF821FC"/>
    <w:rsid w:val="201D7F2C"/>
    <w:rsid w:val="20225592"/>
    <w:rsid w:val="20E26A39"/>
    <w:rsid w:val="2101FF86"/>
    <w:rsid w:val="210E47A2"/>
    <w:rsid w:val="21365316"/>
    <w:rsid w:val="22BB6499"/>
    <w:rsid w:val="22DEE168"/>
    <w:rsid w:val="23A77D82"/>
    <w:rsid w:val="2407852D"/>
    <w:rsid w:val="240FC9F4"/>
    <w:rsid w:val="2454CB7B"/>
    <w:rsid w:val="26194927"/>
    <w:rsid w:val="268634EB"/>
    <w:rsid w:val="2699CD46"/>
    <w:rsid w:val="26B38D1B"/>
    <w:rsid w:val="26E6DD92"/>
    <w:rsid w:val="27F91028"/>
    <w:rsid w:val="28D20040"/>
    <w:rsid w:val="29BDD5AD"/>
    <w:rsid w:val="2A6DD0A1"/>
    <w:rsid w:val="2B9CA4BF"/>
    <w:rsid w:val="2B9EA795"/>
    <w:rsid w:val="2D3440F2"/>
    <w:rsid w:val="2D9D83DD"/>
    <w:rsid w:val="2E66A72E"/>
    <w:rsid w:val="302D1731"/>
    <w:rsid w:val="304FA30A"/>
    <w:rsid w:val="30751704"/>
    <w:rsid w:val="3091AA07"/>
    <w:rsid w:val="30D5249F"/>
    <w:rsid w:val="329979EC"/>
    <w:rsid w:val="3364B7F3"/>
    <w:rsid w:val="3375236F"/>
    <w:rsid w:val="3410ABE4"/>
    <w:rsid w:val="3459B46E"/>
    <w:rsid w:val="3524B992"/>
    <w:rsid w:val="365C06DD"/>
    <w:rsid w:val="36A8D8C7"/>
    <w:rsid w:val="3861FF6A"/>
    <w:rsid w:val="38F14BD7"/>
    <w:rsid w:val="3B3213CB"/>
    <w:rsid w:val="3C410FE6"/>
    <w:rsid w:val="3D4243CC"/>
    <w:rsid w:val="3DC8F872"/>
    <w:rsid w:val="3E4F6873"/>
    <w:rsid w:val="3EA7C548"/>
    <w:rsid w:val="3F398CCA"/>
    <w:rsid w:val="40312153"/>
    <w:rsid w:val="404B2881"/>
    <w:rsid w:val="407A1DE5"/>
    <w:rsid w:val="40883C82"/>
    <w:rsid w:val="409F7898"/>
    <w:rsid w:val="40CFE2F9"/>
    <w:rsid w:val="41E6F8E2"/>
    <w:rsid w:val="42240CE3"/>
    <w:rsid w:val="44474BB1"/>
    <w:rsid w:val="4478022C"/>
    <w:rsid w:val="45558EAA"/>
    <w:rsid w:val="45733E8C"/>
    <w:rsid w:val="47284043"/>
    <w:rsid w:val="478D1715"/>
    <w:rsid w:val="47A5FB9E"/>
    <w:rsid w:val="47AFA2EE"/>
    <w:rsid w:val="47C0A157"/>
    <w:rsid w:val="4823A7EE"/>
    <w:rsid w:val="483D1209"/>
    <w:rsid w:val="48934E67"/>
    <w:rsid w:val="49B754EF"/>
    <w:rsid w:val="49E68678"/>
    <w:rsid w:val="49F20AC7"/>
    <w:rsid w:val="4A2F1EC8"/>
    <w:rsid w:val="4AC4B7D7"/>
    <w:rsid w:val="4AF84219"/>
    <w:rsid w:val="4B0AB678"/>
    <w:rsid w:val="4B471195"/>
    <w:rsid w:val="4CA386E9"/>
    <w:rsid w:val="4D29AB89"/>
    <w:rsid w:val="4D66BF8A"/>
    <w:rsid w:val="4DE1A4D5"/>
    <w:rsid w:val="4EC57BEA"/>
    <w:rsid w:val="4FD56975"/>
    <w:rsid w:val="509E604C"/>
    <w:rsid w:val="50A64DD2"/>
    <w:rsid w:val="51F1985D"/>
    <w:rsid w:val="5228F5D6"/>
    <w:rsid w:val="529D4BB2"/>
    <w:rsid w:val="52FB41E1"/>
    <w:rsid w:val="52FCA000"/>
    <w:rsid w:val="5315C85D"/>
    <w:rsid w:val="53C22377"/>
    <w:rsid w:val="54B198BE"/>
    <w:rsid w:val="56B7416B"/>
    <w:rsid w:val="56D08DCF"/>
    <w:rsid w:val="57099444"/>
    <w:rsid w:val="57CDB43E"/>
    <w:rsid w:val="586C5E30"/>
    <w:rsid w:val="5B399B96"/>
    <w:rsid w:val="5BE90079"/>
    <w:rsid w:val="5C8E06EA"/>
    <w:rsid w:val="5CFCF736"/>
    <w:rsid w:val="5E01418C"/>
    <w:rsid w:val="5E2E99BC"/>
    <w:rsid w:val="5FAAB5FB"/>
    <w:rsid w:val="60BD9598"/>
    <w:rsid w:val="61749684"/>
    <w:rsid w:val="61750FC6"/>
    <w:rsid w:val="61B2BB0E"/>
    <w:rsid w:val="626AB65C"/>
    <w:rsid w:val="647E271E"/>
    <w:rsid w:val="64CEACF4"/>
    <w:rsid w:val="65A2571E"/>
    <w:rsid w:val="6619F77F"/>
    <w:rsid w:val="66886B12"/>
    <w:rsid w:val="673E277F"/>
    <w:rsid w:val="68064DB6"/>
    <w:rsid w:val="684C7E2D"/>
    <w:rsid w:val="687AAA9F"/>
    <w:rsid w:val="69542AF6"/>
    <w:rsid w:val="6AE7B21A"/>
    <w:rsid w:val="6B01DB80"/>
    <w:rsid w:val="6C893903"/>
    <w:rsid w:val="6CFA81CE"/>
    <w:rsid w:val="6DCCC13F"/>
    <w:rsid w:val="6E1CDE61"/>
    <w:rsid w:val="6E25C0A5"/>
    <w:rsid w:val="6EB73558"/>
    <w:rsid w:val="6F1F581C"/>
    <w:rsid w:val="6FB335B7"/>
    <w:rsid w:val="713DD3BE"/>
    <w:rsid w:val="713E5F1D"/>
    <w:rsid w:val="71AD2FFC"/>
    <w:rsid w:val="7256F8DE"/>
    <w:rsid w:val="7330320F"/>
    <w:rsid w:val="73BCF741"/>
    <w:rsid w:val="73F2C93F"/>
    <w:rsid w:val="74012545"/>
    <w:rsid w:val="746A0263"/>
    <w:rsid w:val="74E77DB9"/>
    <w:rsid w:val="758E99A0"/>
    <w:rsid w:val="7720C35F"/>
    <w:rsid w:val="77AD0CC5"/>
    <w:rsid w:val="77C0CF2E"/>
    <w:rsid w:val="7836C836"/>
    <w:rsid w:val="79774701"/>
    <w:rsid w:val="7CA74A53"/>
    <w:rsid w:val="7DA33370"/>
    <w:rsid w:val="7DAA849D"/>
    <w:rsid w:val="7E431AB4"/>
    <w:rsid w:val="7E9597EB"/>
    <w:rsid w:val="7F7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8C63"/>
  <w15:chartTrackingRefBased/>
  <w15:docId w15:val="{69FF0888-4BE2-41A8-B2AC-C873332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2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2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2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2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2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2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2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2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2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2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2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2D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2D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2D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2D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2D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2D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2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2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2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2D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2D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2D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2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2D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2D4D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912D4D"/>
    <w:rPr>
      <w:b/>
      <w:bCs/>
    </w:rPr>
  </w:style>
  <w:style w:type="character" w:customStyle="1" w:styleId="isemphasis">
    <w:name w:val="is_emphasis"/>
    <w:basedOn w:val="Fontepargpadro"/>
    <w:rsid w:val="00912D4D"/>
  </w:style>
  <w:style w:type="paragraph" w:customStyle="1" w:styleId="sc-1761b25b-0">
    <w:name w:val="sc-1761b25b-0"/>
    <w:basedOn w:val="Normal"/>
    <w:rsid w:val="0091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5D68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7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218"/>
  </w:style>
  <w:style w:type="paragraph" w:styleId="Rodap">
    <w:name w:val="footer"/>
    <w:basedOn w:val="Normal"/>
    <w:link w:val="RodapChar"/>
    <w:uiPriority w:val="99"/>
    <w:unhideWhenUsed/>
    <w:rsid w:val="008A7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erasa.com.br/assets/cms/2021/Release_Financas-Infantis-compres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8A2EB-DB2F-4EC4-BD66-05A930EE6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1F3B1-986B-40D5-9EC9-BF5EEF72326C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DAD14FF2-60D4-43BC-A9C3-D6DE3254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de Almeida</dc:creator>
  <cp:keywords/>
  <dc:description/>
  <cp:lastModifiedBy>Lidiana Dourado Guedes</cp:lastModifiedBy>
  <cp:revision>39</cp:revision>
  <dcterms:created xsi:type="dcterms:W3CDTF">2024-04-18T16:36:00Z</dcterms:created>
  <dcterms:modified xsi:type="dcterms:W3CDTF">2024-06-21T17:41:00Z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